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4B514">
      <w:pPr>
        <w:rPr>
          <w:b/>
          <w:bCs/>
        </w:rPr>
      </w:pPr>
    </w:p>
    <w:p w14:paraId="653247F8">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b/>
          <w:bCs/>
        </w:rPr>
      </w:pPr>
      <w:r>
        <w:rPr>
          <w:rFonts w:hint="eastAsia" w:ascii="方正小标宋简体" w:hAnsi="方正小标宋简体" w:eastAsia="方正小标宋简体" w:cs="方正小标宋简体"/>
          <w:b w:val="0"/>
          <w:bCs w:val="0"/>
          <w:sz w:val="44"/>
          <w:szCs w:val="44"/>
          <w:lang w:eastAsia="zh-CN"/>
        </w:rPr>
        <w:t>第一讲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过敏性鼻炎的临床表现、流行病学、病理生理及药物治疗</w:t>
      </w:r>
    </w:p>
    <w:p w14:paraId="7220778E">
      <w:pPr>
        <w:keepNext w:val="0"/>
        <w:keepLines w:val="0"/>
        <w:pageBreakBefore w:val="0"/>
        <w:widowControl w:val="0"/>
        <w:kinsoku/>
        <w:wordWrap/>
        <w:overflowPunct/>
        <w:topLinePunct w:val="0"/>
        <w:autoSpaceDE/>
        <w:autoSpaceDN/>
        <w:bidi w:val="0"/>
        <w:adjustRightInd/>
        <w:snapToGrid/>
        <w:spacing w:line="590" w:lineRule="exact"/>
        <w:ind w:firstLine="1600" w:firstLineChars="500"/>
        <w:jc w:val="both"/>
        <w:textAlignment w:val="auto"/>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lang w:eastAsia="zh-CN"/>
        </w:rPr>
        <w:t>福</w:t>
      </w:r>
      <w:r>
        <w:rPr>
          <w:rFonts w:hint="eastAsia" w:ascii="仿宋_GB2312" w:hAnsi="仿宋_GB2312" w:eastAsia="仿宋_GB2312" w:cs="仿宋_GB2312"/>
          <w:b w:val="0"/>
          <w:bCs w:val="0"/>
          <w:sz w:val="32"/>
          <w:szCs w:val="32"/>
        </w:rPr>
        <w:t>建医科大学附属第一医院</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林兴</w:t>
      </w:r>
    </w:p>
    <w:p w14:paraId="5798A5E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793324A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是一种常见且对生活质量影响较大的免疫介导性疾病，主要表现为阵发性打喷嚏、清水样流涕、鼻塞及局部瘙痒，常伴眼部不适和全身乏力。近年来，工业化、城市化进程加快以及气候变迁导致花粉季延长，使得该病的患病率不断攀升，并造成显著的社会经济负担。本文系统阐述了过敏性鼻炎的流行病学特征、危险因素、临床表现、病理生理机制和药物治疗策略，力求为临床医师提供深入且全面的参考，帮助优化个体化诊疗方案。</w:t>
      </w:r>
    </w:p>
    <w:p w14:paraId="67D673D8">
      <w:pPr>
        <w:pStyle w:val="29"/>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引言</w:t>
      </w:r>
    </w:p>
    <w:p w14:paraId="3E5120D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属于一种上呼吸道黏膜的炎症性疾病，主要由机体对环境中的过敏原（例如花粉、尘螨、动物皮屑、霉菌等）发生异常免疫反应而引起。患者常表现为阵发性打喷嚏、鼻黏膜瘙痒、清水样鼻涕和明显的鼻塞，并常伴随眼部瘙痒、流泪、结膜充血、咳嗽及全身乏力等。</w:t>
      </w:r>
    </w:p>
    <w:p w14:paraId="465D9FB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的患病率在全球范围内呈持续上升趋势，成为呼吸道慢性疾病中的一大热点。随着现代生活方式的改变，室内外过敏原和工业污染物的种类及浓度增多，进一步增加了易感人群的发病风险。与此同时，该病可对患者的日常生活、工作学习效率及心理健康造成不同程度影响，亦增加了医疗资源的占用。正因如此，系统深入地认识过敏性鼻炎及其治疗策略，对于降低疾病负担、提升患者生活质量至关重要。</w:t>
      </w:r>
    </w:p>
    <w:p w14:paraId="425B2A06">
      <w:pPr>
        <w:pStyle w:val="29"/>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流行病学与经济负担</w:t>
      </w:r>
    </w:p>
    <w:p w14:paraId="51E3E73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（一）患病率与地理分布</w:t>
      </w:r>
    </w:p>
    <w:p w14:paraId="10C5838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研究显示，在经济较发达的国家和地区，过敏性鼻炎在儿童和成人中的患病率约在10%～30%之间。即便在资源相对有限的地区，随着城市化进程加速以及人口结构和生活方式变化，过敏性鼻炎的发病率也呈不断攀升趋势。城市及工业区通常因空气污染严重及花粉含量高，而表现出明显高于农村地区的过敏性鼻炎患病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国际大型研究项目（如ISAAC）结果显示，不同年龄段的儿童群体中，鼻结膜炎的患病率可达8.5%～14.6%，而自述终生过敏性鼻炎的比例也可高达20%左右。在过去的十余年里，多项研究已证实全球范围内过敏性鼻炎的发病率呈现逐年增加态势，尤其是花粉种类丰富或常年存在室内过敏原的区域更易出现人群高发。</w:t>
      </w:r>
    </w:p>
    <w:p w14:paraId="3CDD851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（二）气候变化与环境因素</w:t>
      </w:r>
    </w:p>
    <w:p w14:paraId="0453AD8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全球气候变暖，花粉季节被显著延长，部分地区花粉扩散期较以往提早数周或延迟结束，使得患者面对更长周期的过敏原暴露。此外，工业化和城市化带来的环境污染，例如尾气、粉尘及挥发性有机化合物等，也会加重鼻黏膜的刺激和炎性反应，从而增加过敏性鼻炎的发病风险。</w:t>
      </w:r>
    </w:p>
    <w:p w14:paraId="7240532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（三）社会与经济负担</w:t>
      </w:r>
    </w:p>
    <w:p w14:paraId="3CFBEC7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虽非致命性疾病，但其对社会及个人的经济影响巨大。患者经常因症状影响导致工作效率和学习效率下降，出现缺勤或注意力障碍。美国等研究显示，每年因过敏性鼻炎产生的直接与间接医疗支出可达数十亿美元，且在很多国家，过敏性鼻炎患者的门诊就诊率、处方数及药物费用均高于非过敏人群，明显加重整体医疗系统的负担。对于资源相对匮乏的地区，疾病的早期识别和规范管理尤为关键，可减少因延误诊治或不恰当用药带来的并发症风险和后期医疗开支。</w:t>
      </w:r>
    </w:p>
    <w:p w14:paraId="6126342A">
      <w:pPr>
        <w:pStyle w:val="29"/>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危险因素及其作用机制</w:t>
      </w:r>
    </w:p>
    <w:p w14:paraId="09DBB3D5">
      <w:pPr>
        <w:pStyle w:val="29"/>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遗传因素</w:t>
      </w:r>
    </w:p>
    <w:p w14:paraId="55ED0B7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疾病往往具有明显的家族聚集性。研究发现，携带特定基因型（尤其是染色体6上MHC相关区域）的个体，对外界过敏原更易产生IgE介导的免疫反应。若父母双方均有过敏性疾病史，则子女发生过敏性鼻炎的可能性会显著增高。此外，某些基因多态性也可能影响免疫系统应对外来抗原的方式，使个体更倾向于产生Th2偏向反应。</w:t>
      </w:r>
    </w:p>
    <w:p w14:paraId="62EDBEE3">
      <w:pPr>
        <w:pStyle w:val="29"/>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环境暴露</w:t>
      </w:r>
    </w:p>
    <w:p w14:paraId="01DE125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环境暴露因素在过敏性鼻炎发生中的地位日益受到重视。其中，常见环境激发因子包括室内尘螨、霉菌、宠物皮屑、蟑螂碎屑，以及室外花粉、真菌孢子等。长期暴露在工业废气、汽车尾气等污染物较多的区域，亦被证明能加重呼吸道黏膜的易感性。加之现代社会使用空调、加湿器等室内设备普及，一定程度上改变了室内微环境，也会影响尘螨及真菌等过敏原的生长繁殖，为过敏性鼻炎的发生提供了条件。</w:t>
      </w:r>
    </w:p>
    <w:p w14:paraId="484ED616">
      <w:pPr>
        <w:pStyle w:val="29"/>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出生季节与早期生活方式</w:t>
      </w:r>
    </w:p>
    <w:p w14:paraId="3F71CD2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观察显示，出生于花粉季节的婴儿因早期暴露于高浓度花粉，诱发机体较早产生特异性免疫反应，日后易发展为季节性过敏性鼻炎。另有研究提示，幼年时期广泛使用抗生素、母亲妊娠期或哺乳期吸烟等因素均可引起婴幼儿肠道或呼吸道菌群紊乱，进而增加过敏性疾病的易感性。</w:t>
      </w:r>
    </w:p>
    <w:p w14:paraId="72E46429">
      <w:pPr>
        <w:pStyle w:val="29"/>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合并疾病与生活习惯</w:t>
      </w:r>
    </w:p>
    <w:p w14:paraId="42C2CE7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反复呼吸道感染、扁桃体肥大或切除等亦与过敏性鼻炎可能存在关联。此外，首胎出生、居住环境空气不流通或通风不良，以及某些饮食习惯（如摄入过多人工添加剂）等，也被认为在一定程度上增加发病风险。</w:t>
      </w:r>
    </w:p>
    <w:p w14:paraId="1C9B562D">
      <w:pPr>
        <w:pStyle w:val="29"/>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临床表现与诊断要点</w:t>
      </w:r>
    </w:p>
    <w:p w14:paraId="7AB0C56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（一）主要症状</w:t>
      </w:r>
    </w:p>
    <w:p w14:paraId="6A9200EB">
      <w:pPr>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打喷嚏：多呈突发性与连续性，症状常在晨起或接触特定环境时尤为显著。</w:t>
      </w:r>
    </w:p>
    <w:p w14:paraId="7E3A24FD">
      <w:pPr>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流涕：典型表现为清水样涕，部分患者在合并细菌感染后可转为黏稠或脓性分泌物。</w:t>
      </w:r>
    </w:p>
    <w:p w14:paraId="17A9F426">
      <w:pPr>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鼻塞：由鼻黏膜肿胀及分泌物堆积所致，可致夜间张口呼吸或打鼾。</w:t>
      </w:r>
    </w:p>
    <w:p w14:paraId="6E08218E">
      <w:pPr>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瘙痒：鼻腔及咽部甚至眼部均可出现瘙痒，患者常不自觉地挠鼻或眨眼。</w:t>
      </w:r>
    </w:p>
    <w:p w14:paraId="48FC36E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（二）次要症状与特殊表现</w:t>
      </w:r>
    </w:p>
    <w:p w14:paraId="0ED40322">
      <w:pPr>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后鼻滴漏：分泌物沿后鼻孔流向咽部，可刺激咳嗽或引发咽喉不适。</w:t>
      </w:r>
    </w:p>
    <w:p w14:paraId="7688EB71">
      <w:pPr>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全身性症状：包括倦怠、易怒、记忆力下降或注意力不集中，尤见于病程迁延者。</w:t>
      </w:r>
    </w:p>
    <w:p w14:paraId="7DBD41D0">
      <w:pPr>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儿童特殊征象：部分患儿会因长期鼻塞形成“过敏性面容”，表现为高拱腭、下颌突出以及牙列不齐。</w:t>
      </w:r>
    </w:p>
    <w:p w14:paraId="6092BAD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（三）诊断流程</w:t>
      </w:r>
    </w:p>
    <w:p w14:paraId="78163100">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病史采集：深入询问患者发病时间、季节性波动或家族过敏史，以及与室内或室外环境变化的相关性，均可帮助初步判断。</w:t>
      </w:r>
    </w:p>
    <w:p w14:paraId="0662D2FA">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体格检查：主要检查鼻腔、咽喉、眼睑等部位，注意有无黏膜水肿、暗沉、分泌物性质，儿童需留意中耳负压或听力改变等。</w:t>
      </w:r>
    </w:p>
    <w:p w14:paraId="18446B9B">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过敏原检测：皮肤点刺试验或血清特异性IgE检测有助于鉴定具体过敏原。若临床高度怀疑但常规检测阴性，则可能存在局部过敏性鼻炎，可通过鼻内激发试验进一步确认。</w:t>
      </w:r>
    </w:p>
    <w:p w14:paraId="5428A7C4">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其他辅助检查：如必须排除鼻窦炎或其他解剖异常，可行鼻窦CT或MRI评估。</w:t>
      </w:r>
    </w:p>
    <w:p w14:paraId="53FF957E">
      <w:pPr>
        <w:pStyle w:val="29"/>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病理生理机制与局部变化</w:t>
      </w:r>
    </w:p>
    <w:p w14:paraId="6FA5C1EC">
      <w:pPr>
        <w:pStyle w:val="29"/>
        <w:keepNext w:val="0"/>
        <w:keepLines w:val="0"/>
        <w:pageBreakBefore w:val="0"/>
        <w:widowControl w:val="0"/>
        <w:numPr>
          <w:ilvl w:val="0"/>
          <w:numId w:val="6"/>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IgE介导的免疫过程</w:t>
      </w:r>
    </w:p>
    <w:p w14:paraId="366E899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过敏原初次进入呼吸道后，抗原呈递细胞（如树突状细胞、巨噬细胞）处理并呈递给CD4+ T淋巴细胞，使其向Th2表型分化。Th2细胞分泌的IL-4和IL-13可诱导B细胞进行免疫球蛋白类别转换，产生特异性IgE。之后，这些IgE分子结合至肥大细胞和嗜碱性粒细胞表面的高亲和力受体上。</w:t>
      </w:r>
    </w:p>
    <w:p w14:paraId="3846E651">
      <w:pPr>
        <w:pStyle w:val="29"/>
        <w:keepNext w:val="0"/>
        <w:keepLines w:val="0"/>
        <w:pageBreakBefore w:val="0"/>
        <w:widowControl w:val="0"/>
        <w:numPr>
          <w:ilvl w:val="0"/>
          <w:numId w:val="6"/>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肥大细胞脱颗粒及急性反应</w:t>
      </w:r>
    </w:p>
    <w:p w14:paraId="49A03DF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二次接触同一过敏原时，IgE与过敏原交联，触发肥大细胞和嗜碱性粒细胞脱颗粒，迅速释放组胺、前列腺素、白三烯、血小板活化因子等多种炎症介质，引起鼻腔黏膜的血管通透性和腺体分泌增加，使患者出现喷嚏、流涕及鼻塞等典型症状。</w:t>
      </w:r>
    </w:p>
    <w:p w14:paraId="225FF4C7">
      <w:pPr>
        <w:pStyle w:val="29"/>
        <w:keepNext w:val="0"/>
        <w:keepLines w:val="0"/>
        <w:pageBreakBefore w:val="0"/>
        <w:widowControl w:val="0"/>
        <w:numPr>
          <w:ilvl w:val="0"/>
          <w:numId w:val="6"/>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迟发反应与慢性炎症</w:t>
      </w:r>
    </w:p>
    <w:p w14:paraId="23751E3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数小时后，更多炎性细胞（如嗜酸性粒细胞、单核细胞）浸润鼻黏膜，进一步释放细胞因子及毒性蛋白，导致持续性炎症及组织损伤，部分患者可出现迟发反应并形成对非特异性刺激的高敏状态。</w:t>
      </w:r>
    </w:p>
    <w:p w14:paraId="720A7A7F">
      <w:pPr>
        <w:pStyle w:val="29"/>
        <w:keepNext w:val="0"/>
        <w:keepLines w:val="0"/>
        <w:pageBreakBefore w:val="0"/>
        <w:widowControl w:val="0"/>
        <w:numPr>
          <w:ilvl w:val="0"/>
          <w:numId w:val="6"/>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局部过敏性鼻炎</w:t>
      </w:r>
    </w:p>
    <w:p w14:paraId="5F1511C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皮肤或血清检测结果为阴性，但仍具过敏性鼻炎典型症状的人群，可能存在局部过敏性鼻炎。此类患者在鼻黏膜局部可检测到特异性IgE及Th2细胞反应，但不足以在全身循环中检出。其确切机制仍在研究中，诊断主要依据鼻内激发试验和局部免疫指标的检测。</w:t>
      </w:r>
    </w:p>
    <w:p w14:paraId="782475E4">
      <w:pPr>
        <w:pStyle w:val="29"/>
        <w:keepNext w:val="0"/>
        <w:keepLines w:val="0"/>
        <w:pageBreakBefore w:val="0"/>
        <w:widowControl w:val="0"/>
        <w:numPr>
          <w:ilvl w:val="0"/>
          <w:numId w:val="6"/>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鼻窦及上呼吸道其他部位受累</w:t>
      </w:r>
    </w:p>
    <w:p w14:paraId="2616DE0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不仅影响鼻腔黏膜，也常累及鼻窦黏膜。长期慢性炎症可导致鼻窦口阻塞，诱发或加重慢性鼻窦炎。而对于一些患者，过敏性鼻炎与哮喘、过敏性结膜炎等其他过敏性疾病也往往呈同向发展趋势，提示其可能具有共同的免疫学背景。</w:t>
      </w:r>
    </w:p>
    <w:p w14:paraId="6BD2200A">
      <w:pPr>
        <w:pStyle w:val="29"/>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药物治疗策略与临床应用</w:t>
      </w:r>
    </w:p>
    <w:p w14:paraId="114396A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过敏性鼻炎的药物治疗旨在缓解症状、改善生活质量并避免或减少并发症。具体治疗选择应结合患者症状严重程度、年龄、合并疾病以及个人偏好等多种因素综合决定。</w:t>
      </w:r>
    </w:p>
    <w:p w14:paraId="68F6CD4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（一）糖皮质激素类鼻喷雾剂</w:t>
      </w:r>
    </w:p>
    <w:p w14:paraId="64F95787">
      <w:pPr>
        <w:keepNext w:val="0"/>
        <w:keepLines w:val="0"/>
        <w:pageBreakBefore w:val="0"/>
        <w:widowControl w:val="0"/>
        <w:numPr>
          <w:ilvl w:val="0"/>
          <w:numId w:val="7"/>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机制与优势</w:t>
      </w:r>
    </w:p>
    <w:p w14:paraId="5F2EAD8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糖皮质激素鼻喷雾剂通过抑制促炎基因表达、降低多种炎性介质和细胞因子的释放，在改善鼻塞、流涕、喷嚏及瘙痒方面十分显著。它被视为目前治疗过敏性鼻炎最有效的单一维持药物之一。</w:t>
      </w:r>
    </w:p>
    <w:p w14:paraId="0F90EF6A">
      <w:pPr>
        <w:keepNext w:val="0"/>
        <w:keepLines w:val="0"/>
        <w:pageBreakBefore w:val="0"/>
        <w:widowControl w:val="0"/>
        <w:numPr>
          <w:ilvl w:val="0"/>
          <w:numId w:val="7"/>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使用方法与注意事项</w:t>
      </w:r>
    </w:p>
    <w:p w14:paraId="2A467B2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建议每日定时喷鼻，并根据症状变化逐步调整剂量。</w:t>
      </w:r>
    </w:p>
    <w:p w14:paraId="6CF05BB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喷雾时头部稍向下，以减少药液经后鼻孔流入咽部；避开鼻中隔方向，可降低黏膜刺激及出血风险。</w:t>
      </w:r>
    </w:p>
    <w:p w14:paraId="5BFB6AA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长期应用时需密切关注局部黏膜变化，若出现出血或溃疡，应暂停或更换药物。</w:t>
      </w:r>
    </w:p>
    <w:p w14:paraId="5738379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（二）口服抗组胺药</w:t>
      </w:r>
    </w:p>
    <w:p w14:paraId="0029B901">
      <w:pPr>
        <w:keepNext w:val="0"/>
        <w:keepLines w:val="0"/>
        <w:pageBreakBefore w:val="0"/>
        <w:widowControl w:val="0"/>
        <w:numPr>
          <w:ilvl w:val="0"/>
          <w:numId w:val="8"/>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适用场景</w:t>
      </w:r>
    </w:p>
    <w:p w14:paraId="22B9F71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适用于轻至中度症状的患者，或与糖皮质激素鼻喷雾剂联合应用以增强疗效。</w:t>
      </w:r>
    </w:p>
    <w:p w14:paraId="53493FFD">
      <w:pPr>
        <w:keepNext w:val="0"/>
        <w:keepLines w:val="0"/>
        <w:pageBreakBefore w:val="0"/>
        <w:widowControl w:val="0"/>
        <w:numPr>
          <w:ilvl w:val="0"/>
          <w:numId w:val="8"/>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副作用与选择</w:t>
      </w:r>
    </w:p>
    <w:p w14:paraId="328622A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第二代抗组胺药镇静作用相对更低，抗胆碱活性也较弱，较适合长时间使用。应根据患者的年龄、肝肾功能、生活方式等进行个体化选择，尤其是儿童和老年人，应注意调整剂量并观察反应。</w:t>
      </w:r>
    </w:p>
    <w:p w14:paraId="0E64E94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（三）抗组胺鼻喷雾剂</w:t>
      </w:r>
    </w:p>
    <w:p w14:paraId="161117E4">
      <w:pPr>
        <w:keepNext w:val="0"/>
        <w:keepLines w:val="0"/>
        <w:pageBreakBefore w:val="0"/>
        <w:widowControl w:val="0"/>
        <w:numPr>
          <w:ilvl w:val="0"/>
          <w:numId w:val="9"/>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主要特点</w:t>
      </w:r>
    </w:p>
    <w:p w14:paraId="5055FE3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抗组胺鼻喷雾剂可直接作用于局部，起效迅速，能在短时间内减轻瘙痒、流涕和喷嚏症状，常用于按需使用或轻度症状控制。</w:t>
      </w:r>
    </w:p>
    <w:p w14:paraId="0E067CE1">
      <w:pPr>
        <w:keepNext w:val="0"/>
        <w:keepLines w:val="0"/>
        <w:pageBreakBefore w:val="0"/>
        <w:widowControl w:val="0"/>
        <w:numPr>
          <w:ilvl w:val="0"/>
          <w:numId w:val="9"/>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局限性</w:t>
      </w:r>
    </w:p>
    <w:p w14:paraId="32C7448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部分患者使用后会感觉苦味或局部刺激感。与糖皮质激素鼻喷雾剂相比，此类药物对鼻塞的缓解作用相对有限，总体疗效略逊一筹。</w:t>
      </w:r>
    </w:p>
    <w:p w14:paraId="219BC7C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（四）联合用药与特殊方案</w:t>
      </w:r>
    </w:p>
    <w:p w14:paraId="4D4F6937">
      <w:pPr>
        <w:keepNext w:val="0"/>
        <w:keepLines w:val="0"/>
        <w:pageBreakBefore w:val="0"/>
        <w:widowControl w:val="0"/>
        <w:numPr>
          <w:ilvl w:val="0"/>
          <w:numId w:val="1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糖皮质激素+抗组胺药联合</w:t>
      </w:r>
    </w:p>
    <w:p w14:paraId="704CF37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对于症状持续且单一药物控制不佳的患者，可考虑联合用药，一些制剂已经将糖皮质激素与抗组胺药配方结合，以方便患者使用，提升依从性。</w:t>
      </w:r>
    </w:p>
    <w:p w14:paraId="5013DB43">
      <w:pPr>
        <w:keepNext w:val="0"/>
        <w:keepLines w:val="0"/>
        <w:pageBreakBefore w:val="0"/>
        <w:widowControl w:val="0"/>
        <w:numPr>
          <w:ilvl w:val="0"/>
          <w:numId w:val="1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免疫治疗</w:t>
      </w:r>
    </w:p>
    <w:p w14:paraId="5325F17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适用于对某些明确过敏原高度敏感且症状较重的患者。可分为皮下注射和舌下含服两种形式，旨在从免疫学水平降低机体对过敏原的过度反应，具有长期益处，但需一定疗程及规范监测。</w:t>
      </w:r>
    </w:p>
    <w:p w14:paraId="4B8C4DE3">
      <w:pPr>
        <w:keepNext w:val="0"/>
        <w:keepLines w:val="0"/>
        <w:pageBreakBefore w:val="0"/>
        <w:widowControl w:val="0"/>
        <w:numPr>
          <w:ilvl w:val="0"/>
          <w:numId w:val="1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其他药物</w:t>
      </w:r>
    </w:p>
    <w:p w14:paraId="71ACD07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根据具体症状可使用鼻腔生理盐水冲洗、肥大细胞稳定剂或胆碱能拮抗剂。去充血药虽可迅速缓解鼻塞，但长时间或频繁使用易致反弹性鼻炎，应严格限定使用时限。</w:t>
      </w:r>
    </w:p>
    <w:p w14:paraId="0DC689E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（五）注意事项与特殊人群管理</w:t>
      </w:r>
    </w:p>
    <w:p w14:paraId="14A6062B">
      <w:pPr>
        <w:keepNext w:val="0"/>
        <w:keepLines w:val="0"/>
        <w:pageBreakBefore w:val="0"/>
        <w:widowControl w:val="0"/>
        <w:numPr>
          <w:ilvl w:val="0"/>
          <w:numId w:val="1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儿童</w:t>
      </w:r>
    </w:p>
    <w:p w14:paraId="4047548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年龄过小（如2岁以下）时，过敏性鼻炎较少见，一旦确诊，可考虑温和的液体制剂或低浓度糖皮质激素鼻喷雾剂；同时须关注生长发育情况。</w:t>
      </w:r>
    </w:p>
    <w:p w14:paraId="0B82554D">
      <w:pPr>
        <w:keepNext w:val="0"/>
        <w:keepLines w:val="0"/>
        <w:pageBreakBefore w:val="0"/>
        <w:widowControl w:val="0"/>
        <w:numPr>
          <w:ilvl w:val="0"/>
          <w:numId w:val="1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孕妇</w:t>
      </w:r>
    </w:p>
    <w:p w14:paraId="220F1C6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若需药物干预，建议首选在安全性方面证据较充分的制剂，尽量避免使用对胎儿潜在风险高的药物。</w:t>
      </w:r>
    </w:p>
    <w:p w14:paraId="38C256F1">
      <w:pPr>
        <w:keepNext w:val="0"/>
        <w:keepLines w:val="0"/>
        <w:pageBreakBefore w:val="0"/>
        <w:widowControl w:val="0"/>
        <w:numPr>
          <w:ilvl w:val="0"/>
          <w:numId w:val="1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老年人</w:t>
      </w:r>
    </w:p>
    <w:p w14:paraId="56BF99D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因其机体对药物耐受性差，需严密观察可能的心血管及神经系统副作用，避免过量或不当用药。</w:t>
      </w:r>
    </w:p>
    <w:p w14:paraId="20D5B8A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七、综合管理与并发症预防</w:t>
      </w:r>
    </w:p>
    <w:p w14:paraId="42188AFF">
      <w:pPr>
        <w:keepNext w:val="0"/>
        <w:keepLines w:val="0"/>
        <w:pageBreakBefore w:val="0"/>
        <w:widowControl w:val="0"/>
        <w:numPr>
          <w:ilvl w:val="0"/>
          <w:numId w:val="1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环境与生活方式干预</w:t>
      </w:r>
    </w:p>
    <w:p w14:paraId="096BECEB">
      <w:pPr>
        <w:keepNext w:val="0"/>
        <w:keepLines w:val="0"/>
        <w:pageBreakBefore w:val="0"/>
        <w:widowControl w:val="0"/>
        <w:kinsoku/>
        <w:wordWrap/>
        <w:overflowPunct/>
        <w:topLinePunct w:val="0"/>
        <w:autoSpaceDE/>
        <w:autoSpaceDN/>
        <w:bidi w:val="0"/>
        <w:adjustRightInd/>
        <w:snapToGrid/>
        <w:spacing w:line="59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建议减少对已确认为过敏原的接触，如勤洗被褥、定期清洁室内死角、合理使用空气净化设备等。花粉季节应减少开窗时间或外出时戴口罩，以减少过敏原吸入。</w:t>
      </w:r>
    </w:p>
    <w:p w14:paraId="0C6CB636">
      <w:pPr>
        <w:keepNext w:val="0"/>
        <w:keepLines w:val="0"/>
        <w:pageBreakBefore w:val="0"/>
        <w:widowControl w:val="0"/>
        <w:numPr>
          <w:ilvl w:val="0"/>
          <w:numId w:val="1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健康教育与随访</w:t>
      </w:r>
    </w:p>
    <w:p w14:paraId="559B8DD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医师应向患者及家属普及疾病知识和用药规范，包括用药方式、时限和剂量等。定期随访以评估治疗效果及副作用，并根据季节、环境改变或病情波动适时调控用药策略。</w:t>
      </w:r>
    </w:p>
    <w:p w14:paraId="4B9D3F68">
      <w:pPr>
        <w:keepNext w:val="0"/>
        <w:keepLines w:val="0"/>
        <w:pageBreakBefore w:val="0"/>
        <w:widowControl w:val="0"/>
        <w:numPr>
          <w:ilvl w:val="0"/>
          <w:numId w:val="1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并发症预防</w:t>
      </w:r>
    </w:p>
    <w:p w14:paraId="2BCECFE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并哮喘、过敏性结膜炎、鼻窦炎或中耳炎的患者，应积极监测肺功能、耳道通气及眼部症状，避免病程加重或多器官累及。对多次发作的中重度患者，若常规药物控制欠佳，可进一步考虑免疫治疗以降低并发症概率。</w:t>
      </w:r>
    </w:p>
    <w:p w14:paraId="2B65F54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八、结论与展望</w:t>
      </w:r>
    </w:p>
    <w:p w14:paraId="6D40153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敏性鼻炎作为一种常见的呼吸道过敏性疾病，不仅损害患者的日常生活质量，也对公共卫生系统带来巨大负担。其核心机制在于遗传与环境因素共同作用下形成的Th2型免疫偏向，引发IgE介导的肥大细胞及多种炎性细胞的激活。</w:t>
      </w:r>
    </w:p>
    <w:p w14:paraId="3023208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药物治疗仍是临床控制过敏性鼻炎的主要手段，其中糖皮质激素鼻喷雾剂被视为最有效的基础用药，配合第二代口服抗组胺药、抗组胺鼻喷雾剂或联合制剂可进一步提升疗效。对于症状顽固或因各种因素难以规范用药的患者，可以考虑免疫治疗作为长期策略。此外，通过加强健康教育、增强环境与生活方式干预，并在必要时及时调整用药方案，能大幅度降低急性发作与并发症发生率，改善患者长期预后。</w:t>
      </w:r>
    </w:p>
    <w:p w14:paraId="2F644D7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来的研究方向包括进一步解析局部过敏性鼻炎的免疫学特征、探讨更安全与高效的生物制剂以及精准化免疫治疗方案，力求实现对过敏性鼻炎的更为彻底和个体化管理。临床医师在实践中需与患者积极沟通，结合当地过敏原特点、患者个人情况和资源可及性，以制定最佳治疗策略，不断提升诊疗水平并减轻过敏性鼻炎所带来的社会与经济负担。</w:t>
      </w:r>
    </w:p>
    <w:p w14:paraId="10EC85B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65E4ABE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6AF3583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73824AE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B7FD8C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249EF3B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7645099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2B6EDEF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CBFE76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559D2E5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E6BDCC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3C6E898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4507663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附单选题</w:t>
      </w:r>
    </w:p>
    <w:p w14:paraId="07F0AC3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 关于过敏性鼻炎的核心发病机制，下列哪一项最准确？</w:t>
      </w:r>
    </w:p>
    <w:p w14:paraId="370CA17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主要是由细菌感染引发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核心在于IgE介导的Th2型免疫反应</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病程短暂、非反复性疾病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多与IgG4过敏反应有关</w:t>
      </w:r>
    </w:p>
    <w:p w14:paraId="4DA6534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 国际大型研究（如ISAAC）对儿童鼻结膜炎和过敏性鼻炎的调查结果，以下哪一项更为准确？</w:t>
      </w:r>
    </w:p>
    <w:p w14:paraId="456B6EF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A. 不同年龄段儿童中鼻结膜炎患病率约为20%，过敏性鼻炎低于10%</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不同年龄段儿童中鼻结膜炎患病率可达8.5%～14.6%，自述终生过敏性鼻炎可达20%左右</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花粉过敏在城市和农村的患病率差异不大</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过敏性鼻炎在儿童发病率不断下降</w:t>
      </w:r>
    </w:p>
    <w:p w14:paraId="7404A2B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 以下哪一项不被视为过敏性鼻炎易感或触发因素？</w:t>
      </w:r>
    </w:p>
    <w:p w14:paraId="2D487D7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A. 出生于高浓度花粉季节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扁桃体肥大或切除史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长期暴露于工业污染物或室内尘螨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单纯幽门螺杆菌感染</w:t>
      </w:r>
    </w:p>
    <w:p w14:paraId="69B58AE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 过敏性鼻炎的主要症状不包括下列哪一项？</w:t>
      </w:r>
    </w:p>
    <w:p w14:paraId="600AA40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A. 阵发性打喷嚏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清水样流涕</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鼻塞</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耳痛为唯一主要症状</w:t>
      </w:r>
    </w:p>
    <w:p w14:paraId="79AC45B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 关于局部过敏性鼻炎，下列说法正确的是：</w:t>
      </w:r>
    </w:p>
    <w:p w14:paraId="34A3B3D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A. 在皮肤或血清中可检测到高水平IgE</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仅在老年患者中发现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其机制仍在研究中，诊断主要依靠鼻内激发试验和局部免疫指标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症状较经典全身过敏性鼻炎更重</w:t>
      </w:r>
    </w:p>
    <w:p w14:paraId="45902CA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 下列关于糖皮质激素类鼻喷雾剂的论述中，哪一项是正确的？</w:t>
      </w:r>
    </w:p>
    <w:p w14:paraId="470EDE6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不必掌握使用技巧，向鼻腔随意喷即可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对于改善鼻塞、流涕、喷嚏及瘙痒均有显著作用，被视为最有效的单一维持药物之一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可长时间大剂量使用，无需关注局部不良反应</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通常不需要每日定时使用</w:t>
      </w:r>
    </w:p>
    <w:p w14:paraId="193C649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 对于轻至中度过敏性鼻炎患者下列哪一项治疗方案更为合适？</w:t>
      </w:r>
    </w:p>
    <w:p w14:paraId="1A4381B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A. 首选口服大环内酯类抗生素长期服用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优先考虑低剂量局部激素喷雾与口服第二代抗组胺药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直接接受手术治疗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应常规应用口服糖皮质激素冲击治疗</w:t>
      </w:r>
    </w:p>
    <w:p w14:paraId="246C255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 对于过敏性鼻炎的联合用药与特殊方案，下列说法不正确的是：</w:t>
      </w:r>
    </w:p>
    <w:p w14:paraId="63E0C49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部分制剂已将糖皮质激素与抗组胺药结合成复方制剂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免疫治疗可分为皮下注射和舌下含服，用于减少机体对过敏原的过度反应</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肥大细胞稳定剂可用于缓解急性发作时明显鼻塞</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过敏性鼻炎患者使用去充血药时应注意反弹性鼻炎的风险</w:t>
      </w:r>
    </w:p>
    <w:p w14:paraId="480BD64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 若怀疑儿童患者患有过敏性鼻炎，下列哪一项处理方法更加恰当？</w:t>
      </w:r>
    </w:p>
    <w:p w14:paraId="09296C8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大剂量口服激素控制症状后再行评估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一经诊断需立刻免疫治疗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首选温和的液体制剂或低浓度糖皮质激素鼻喷雾剂，并关注其生长发育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与成人无本质区别，可直接应用成人剂量的激素鼻喷</w:t>
      </w:r>
    </w:p>
    <w:p w14:paraId="27810E2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 有关过敏性鼻炎的前景展望，下列说法正确的是：</w:t>
      </w:r>
    </w:p>
    <w:p w14:paraId="1D09BED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已经研制出可根治过敏性鼻炎的特效药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生物制剂针对轻症患者更适合</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局部过敏性鼻炎的免疫学特征有待进一步研究，生物制剂也需长期随访安全性</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过敏性鼻炎研究已足够成熟，无需更多进展</w:t>
      </w:r>
    </w:p>
    <w:p w14:paraId="04B91688">
      <w:pPr>
        <w:rPr>
          <w:rFonts w:ascii="宋体" w:hAnsi="宋体" w:eastAsia="宋体"/>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E3F73"/>
    <w:multiLevelType w:val="multilevel"/>
    <w:tmpl w:val="054E3F73"/>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84D139B"/>
    <w:multiLevelType w:val="multilevel"/>
    <w:tmpl w:val="084D139B"/>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BEB7AC8"/>
    <w:multiLevelType w:val="multilevel"/>
    <w:tmpl w:val="0BEB7AC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F670579"/>
    <w:multiLevelType w:val="multilevel"/>
    <w:tmpl w:val="0F670579"/>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15A66E3"/>
    <w:multiLevelType w:val="multilevel"/>
    <w:tmpl w:val="115A66E3"/>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13640944"/>
    <w:multiLevelType w:val="multilevel"/>
    <w:tmpl w:val="13640944"/>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8"/>
      <w:numFmt w:val="japaneseCounting"/>
      <w:lvlText w:val="%3、"/>
      <w:lvlJc w:val="left"/>
      <w:pPr>
        <w:ind w:left="2220" w:hanging="420"/>
      </w:pPr>
      <w:rPr>
        <w:rFonts w:hint="default"/>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CA51C30"/>
    <w:multiLevelType w:val="multilevel"/>
    <w:tmpl w:val="1CA51C3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CA57CD2"/>
    <w:multiLevelType w:val="multilevel"/>
    <w:tmpl w:val="2CA57CD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E516F88"/>
    <w:multiLevelType w:val="multilevel"/>
    <w:tmpl w:val="3E516F88"/>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6D3268A6"/>
    <w:multiLevelType w:val="multilevel"/>
    <w:tmpl w:val="6D3268A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76381753"/>
    <w:multiLevelType w:val="multilevel"/>
    <w:tmpl w:val="76381753"/>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7D90611E"/>
    <w:multiLevelType w:val="multilevel"/>
    <w:tmpl w:val="7D90611E"/>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4"/>
  </w:num>
  <w:num w:numId="3">
    <w:abstractNumId w:val="2"/>
  </w:num>
  <w:num w:numId="4">
    <w:abstractNumId w:val="7"/>
  </w:num>
  <w:num w:numId="5">
    <w:abstractNumId w:val="6"/>
  </w:num>
  <w:num w:numId="6">
    <w:abstractNumId w:val="8"/>
  </w:num>
  <w:num w:numId="7">
    <w:abstractNumId w:val="0"/>
  </w:num>
  <w:num w:numId="8">
    <w:abstractNumId w:val="1"/>
  </w:num>
  <w:num w:numId="9">
    <w:abstractNumId w:val="10"/>
  </w:num>
  <w:num w:numId="10">
    <w:abstractNumId w:val="9"/>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A12639"/>
    <w:rsid w:val="000A39C3"/>
    <w:rsid w:val="001F5E1F"/>
    <w:rsid w:val="0029772A"/>
    <w:rsid w:val="00365AFC"/>
    <w:rsid w:val="004E228B"/>
    <w:rsid w:val="005F5345"/>
    <w:rsid w:val="007F0D2F"/>
    <w:rsid w:val="007F4BCA"/>
    <w:rsid w:val="008175EC"/>
    <w:rsid w:val="009345F5"/>
    <w:rsid w:val="00A12639"/>
    <w:rsid w:val="00A51C5F"/>
    <w:rsid w:val="00AC0AD9"/>
    <w:rsid w:val="00B4738A"/>
    <w:rsid w:val="00B5285B"/>
    <w:rsid w:val="00D108B3"/>
    <w:rsid w:val="00E20A44"/>
    <w:rsid w:val="0EED57A3"/>
    <w:rsid w:val="1F7E6FF0"/>
    <w:rsid w:val="221557E2"/>
    <w:rsid w:val="25817746"/>
    <w:rsid w:val="35215623"/>
    <w:rsid w:val="47026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1"/>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2"/>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3"/>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4"/>
    <w:semiHidden/>
    <w:unhideWhenUsed/>
    <w:qFormat/>
    <w:uiPriority w:val="9"/>
    <w:pPr>
      <w:keepNext/>
      <w:keepLines/>
      <w:outlineLvl w:val="8"/>
    </w:pPr>
    <w:rPr>
      <w:rFonts w:eastAsiaTheme="majorEastAsia" w:cstheme="majorBidi"/>
      <w:color w:val="585858" w:themeColor="text1" w:themeTint="A6"/>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2">
    <w:name w:val="Normal (Web)"/>
    <w:basedOn w:val="1"/>
    <w:semiHidden/>
    <w:unhideWhenUsed/>
    <w:qFormat/>
    <w:uiPriority w:val="99"/>
    <w:rPr>
      <w:rFonts w:ascii="Times New Roman" w:hAnsi="Times New Roman" w:cs="Times New Roman"/>
      <w:sz w:val="24"/>
      <w:szCs w:val="24"/>
    </w:rPr>
  </w:style>
  <w:style w:type="paragraph" w:styleId="13">
    <w:name w:val="Title"/>
    <w:basedOn w:val="1"/>
    <w:next w:val="1"/>
    <w:link w:val="25"/>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6">
    <w:name w:val="标题 1 字符"/>
    <w:basedOn w:val="15"/>
    <w:link w:val="2"/>
    <w:qFormat/>
    <w:uiPriority w:val="9"/>
    <w:rPr>
      <w:rFonts w:asciiTheme="majorHAnsi" w:hAnsiTheme="majorHAnsi" w:eastAsiaTheme="majorEastAsia" w:cstheme="majorBidi"/>
      <w:color w:val="0F4761" w:themeColor="accent1" w:themeShade="BF"/>
      <w:sz w:val="48"/>
      <w:szCs w:val="48"/>
    </w:rPr>
  </w:style>
  <w:style w:type="character" w:customStyle="1" w:styleId="17">
    <w:name w:val="标题 2 字符"/>
    <w:basedOn w:val="15"/>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8">
    <w:name w:val="标题 3 字符"/>
    <w:basedOn w:val="15"/>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19">
    <w:name w:val="标题 4 字符"/>
    <w:basedOn w:val="15"/>
    <w:link w:val="5"/>
    <w:semiHidden/>
    <w:qFormat/>
    <w:uiPriority w:val="9"/>
    <w:rPr>
      <w:rFonts w:cstheme="majorBidi"/>
      <w:color w:val="0F4761" w:themeColor="accent1" w:themeShade="BF"/>
      <w:sz w:val="28"/>
      <w:szCs w:val="28"/>
    </w:rPr>
  </w:style>
  <w:style w:type="character" w:customStyle="1" w:styleId="20">
    <w:name w:val="标题 5 字符"/>
    <w:basedOn w:val="15"/>
    <w:link w:val="6"/>
    <w:semiHidden/>
    <w:qFormat/>
    <w:uiPriority w:val="9"/>
    <w:rPr>
      <w:rFonts w:cstheme="majorBidi"/>
      <w:color w:val="0F4761" w:themeColor="accent1" w:themeShade="BF"/>
      <w:sz w:val="24"/>
      <w:szCs w:val="24"/>
    </w:rPr>
  </w:style>
  <w:style w:type="character" w:customStyle="1" w:styleId="21">
    <w:name w:val="标题 6 字符"/>
    <w:basedOn w:val="15"/>
    <w:link w:val="7"/>
    <w:semiHidden/>
    <w:qFormat/>
    <w:uiPriority w:val="9"/>
    <w:rPr>
      <w:rFonts w:cstheme="majorBidi"/>
      <w:b/>
      <w:bCs/>
      <w:color w:val="0F4761" w:themeColor="accent1" w:themeShade="BF"/>
    </w:rPr>
  </w:style>
  <w:style w:type="character" w:customStyle="1" w:styleId="22">
    <w:name w:val="标题 7 字符"/>
    <w:basedOn w:val="15"/>
    <w:link w:val="8"/>
    <w:semiHidden/>
    <w:qFormat/>
    <w:uiPriority w:val="9"/>
    <w:rPr>
      <w:rFonts w:cstheme="majorBidi"/>
      <w:b/>
      <w:bCs/>
      <w:color w:val="585858" w:themeColor="text1" w:themeTint="A6"/>
    </w:rPr>
  </w:style>
  <w:style w:type="character" w:customStyle="1" w:styleId="23">
    <w:name w:val="标题 8 字符"/>
    <w:basedOn w:val="15"/>
    <w:link w:val="9"/>
    <w:semiHidden/>
    <w:qFormat/>
    <w:uiPriority w:val="9"/>
    <w:rPr>
      <w:rFonts w:cstheme="majorBidi"/>
      <w:color w:val="585858" w:themeColor="text1" w:themeTint="A6"/>
    </w:rPr>
  </w:style>
  <w:style w:type="character" w:customStyle="1" w:styleId="24">
    <w:name w:val="标题 9 字符"/>
    <w:basedOn w:val="15"/>
    <w:link w:val="10"/>
    <w:semiHidden/>
    <w:qFormat/>
    <w:uiPriority w:val="9"/>
    <w:rPr>
      <w:rFonts w:eastAsiaTheme="majorEastAsia" w:cstheme="majorBidi"/>
      <w:color w:val="585858" w:themeColor="text1" w:themeTint="A6"/>
    </w:rPr>
  </w:style>
  <w:style w:type="character" w:customStyle="1" w:styleId="25">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5"/>
    <w:link w:val="11"/>
    <w:qFormat/>
    <w:uiPriority w:val="11"/>
    <w:rPr>
      <w:rFonts w:asciiTheme="majorHAnsi" w:hAnsiTheme="majorHAnsi" w:eastAsiaTheme="majorEastAsia" w:cstheme="majorBidi"/>
      <w:color w:val="585858" w:themeColor="text1" w:themeTint="A6"/>
      <w:spacing w:val="15"/>
      <w:sz w:val="28"/>
      <w:szCs w:val="28"/>
    </w:rPr>
  </w:style>
  <w:style w:type="paragraph" w:styleId="27">
    <w:name w:val="Quote"/>
    <w:basedOn w:val="1"/>
    <w:next w:val="1"/>
    <w:link w:val="28"/>
    <w:qFormat/>
    <w:uiPriority w:val="29"/>
    <w:pPr>
      <w:spacing w:before="160" w:after="160"/>
      <w:jc w:val="center"/>
    </w:pPr>
    <w:rPr>
      <w:i/>
      <w:iCs/>
      <w:color w:val="3F3F3F" w:themeColor="text1" w:themeTint="BF"/>
    </w:rPr>
  </w:style>
  <w:style w:type="character" w:customStyle="1" w:styleId="28">
    <w:name w:val="引用 字符"/>
    <w:basedOn w:val="15"/>
    <w:link w:val="27"/>
    <w:qFormat/>
    <w:uiPriority w:val="29"/>
    <w:rPr>
      <w:i/>
      <w:iCs/>
      <w:color w:val="3F3F3F" w:themeColor="text1" w:themeTint="BF"/>
    </w:rPr>
  </w:style>
  <w:style w:type="paragraph" w:styleId="29">
    <w:name w:val="List Paragraph"/>
    <w:basedOn w:val="1"/>
    <w:qFormat/>
    <w:uiPriority w:val="34"/>
    <w:pPr>
      <w:ind w:left="720"/>
      <w:contextualSpacing/>
    </w:pPr>
  </w:style>
  <w:style w:type="character" w:customStyle="1" w:styleId="30">
    <w:name w:val="明显强调1"/>
    <w:basedOn w:val="15"/>
    <w:qFormat/>
    <w:uiPriority w:val="21"/>
    <w:rPr>
      <w:i/>
      <w:iCs/>
      <w:color w:val="0F4761" w:themeColor="accent1" w:themeShade="BF"/>
    </w:rPr>
  </w:style>
  <w:style w:type="paragraph" w:styleId="31">
    <w:name w:val="Intense Quote"/>
    <w:basedOn w:val="1"/>
    <w:next w:val="1"/>
    <w:link w:val="3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2">
    <w:name w:val="明显引用 字符"/>
    <w:basedOn w:val="15"/>
    <w:link w:val="31"/>
    <w:qFormat/>
    <w:uiPriority w:val="30"/>
    <w:rPr>
      <w:i/>
      <w:iCs/>
      <w:color w:val="0F4761" w:themeColor="accent1" w:themeShade="BF"/>
    </w:rPr>
  </w:style>
  <w:style w:type="character" w:customStyle="1" w:styleId="33">
    <w:name w:val="明显参考1"/>
    <w:basedOn w:val="15"/>
    <w:qFormat/>
    <w:uiPriority w:val="32"/>
    <w:rPr>
      <w:b/>
      <w:bCs/>
      <w:smallCaps/>
      <w:color w:val="0F4761" w:themeColor="accent1" w:themeShade="BF"/>
      <w:spacing w:val="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5564</Words>
  <Characters>5699</Characters>
  <Lines>48</Lines>
  <Paragraphs>13</Paragraphs>
  <TotalTime>21</TotalTime>
  <ScaleCrop>false</ScaleCrop>
  <LinksUpToDate>false</LinksUpToDate>
  <CharactersWithSpaces>5756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2025-03-25T23:01:00Z</dcterms:created>
  <dc:creator>frank frank</dc:creator>
  <cp:lastModifiedBy>lenovo</cp:lastModifiedBy>
  <dcterms:modified xsi:type="dcterms:W3CDTF">2025-08-12T09:05:26Z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eyJoZGlkIjoiMDAxYmE2ZWJmM2RkM2I4YjQwM2FjMjkzN2EyMTE1MGUifQ==</vt:lpwstr>
  </property>
  <property fmtid="{D5CDD505-2E9C-101B-9397-08002B2CF9AE}" pid="3" name="KSOProductBuildVer">
    <vt:lpwstr>2052-12.1.0.21915</vt:lpwstr>
  </property>
  <property fmtid="{D5CDD505-2E9C-101B-9397-08002B2CF9AE}" pid="4" name="ICV">
    <vt:lpwstr>4981F8453CAC4FA4810F861C734731DF_12</vt:lpwstr>
  </property>
</Properties>
</file>